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326"/>
        <w:gridCol w:w="4639"/>
        <w:gridCol w:w="1830"/>
        <w:gridCol w:w="1054"/>
        <w:gridCol w:w="1034"/>
      </w:tblGrid>
      <w:tr>
        <w:trPr>
          <w:trHeight w:val="66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4"/>
                <w:rFonts w:hAnsi="SimSun"/>
                <w:sz w:val="20"/>
                <w:szCs w:val="20"/>
                <w:lang w:val="en-US" w:eastAsia="zh-CN" w:bidi="ar"/>
              </w:rPr>
            </w:pPr>
            <w:r>
              <w:rPr>
                <w:rStyle w:val="4"/>
                <w:rFonts w:hAnsi="SimSun"/>
                <w:sz w:val="20"/>
                <w:szCs w:val="20"/>
                <w:lang w:val="en-US" w:eastAsia="zh-CN" w:bidi="ar"/>
              </w:rPr>
              <w:t xml:space="preserve">附件1 </w:t>
            </w:r>
            <w:r>
              <w:rPr>
                <w:rStyle w:val="5"/>
                <w:rFonts w:hAnsi="SimSun"/>
                <w:sz w:val="16"/>
                <w:szCs w:val="16"/>
                <w:lang w:val="en-US" w:eastAsia="zh-CN" w:bidi="ar"/>
              </w:rPr>
              <w:t xml:space="preserve"> </w:t>
            </w:r>
            <w:r>
              <w:rPr>
                <w:rStyle w:val="6"/>
                <w:rFonts w:hAnsi="SimSun"/>
                <w:sz w:val="24"/>
                <w:szCs w:val="24"/>
                <w:lang w:val="en-US" w:eastAsia="zh-CN" w:bidi="ar"/>
              </w:rPr>
              <w:t xml:space="preserve">               </w:t>
            </w:r>
            <w:r>
              <w:rPr>
                <w:rStyle w:val="6"/>
                <w:rFonts w:hint="eastAsia" w:hAnsi="SimSun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Style w:val="6"/>
                <w:rFonts w:hAnsi="SimSun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6"/>
                <w:rFonts w:hint="eastAsia" w:hAnsi="SimSun"/>
                <w:sz w:val="24"/>
                <w:szCs w:val="24"/>
                <w:lang w:val="en-US" w:eastAsia="zh-CN" w:bidi="ar"/>
              </w:rPr>
              <w:t xml:space="preserve">        法学院</w:t>
            </w:r>
            <w:r>
              <w:rPr>
                <w:rStyle w:val="6"/>
                <w:rFonts w:hAnsi="SimSun"/>
                <w:sz w:val="24"/>
                <w:szCs w:val="24"/>
                <w:lang w:val="en-US" w:eastAsia="zh-CN" w:bidi="ar"/>
              </w:rPr>
              <w:t>文明宿舍考评指标</w:t>
            </w:r>
          </w:p>
        </w:tc>
      </w:tr>
      <w:tr>
        <w:trPr>
          <w:trHeight w:val="828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评分项目</w:t>
            </w:r>
          </w:p>
        </w:tc>
        <w:tc>
          <w:tcPr>
            <w:tcW w:w="2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分值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自评打分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考核打分</w:t>
            </w:r>
          </w:p>
        </w:tc>
      </w:tr>
      <w:tr>
        <w:trPr>
          <w:trHeight w:val="840" w:hRule="atLeast"/>
        </w:trPr>
        <w:tc>
          <w:tcPr>
            <w:tcW w:w="4515" w:type="pct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基本参评条件</w:t>
            </w:r>
            <w:bookmarkStart w:id="0" w:name="_GoBack"/>
            <w:bookmarkEnd w:id="0"/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rPr>
          <w:trHeight w:val="60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遵守学校《学生宿舍管理办法》，符合学校《学生文明宿舍评选办法》条件</w:t>
            </w:r>
          </w:p>
        </w:tc>
        <w:tc>
          <w:tcPr>
            <w:tcW w:w="2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宿舍有明确的成员担任宿舍长</w:t>
            </w:r>
          </w:p>
        </w:tc>
        <w:tc>
          <w:tcPr>
            <w:tcW w:w="8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必达项，只要有一项不达标即不可申报参评文明宿舍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>
        <w:trPr>
          <w:trHeight w:val="64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宿舍成员遵纪守法，学年内无宿舍成员受到学校纪律处分</w:t>
            </w:r>
          </w:p>
        </w:tc>
        <w:tc>
          <w:tcPr>
            <w:tcW w:w="8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>
        <w:trPr>
          <w:trHeight w:val="260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rFonts w:hAnsi="SimSun"/>
                <w:sz w:val="20"/>
                <w:szCs w:val="20"/>
                <w:lang w:val="en-US" w:eastAsia="zh-CN" w:bidi="ar"/>
              </w:rPr>
              <w:t>宿舍成员无宿舍相关违纪行为</w:t>
            </w:r>
            <w:r>
              <w:rPr>
                <w:rStyle w:val="7"/>
                <w:rFonts w:hAnsi="SimSun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7"/>
                <w:rFonts w:hAnsi="SimSun"/>
                <w:sz w:val="20"/>
                <w:szCs w:val="20"/>
                <w:lang w:val="en-US" w:eastAsia="zh-CN" w:bidi="ar"/>
              </w:rPr>
              <w:t>常见违纪行为包括：</w:t>
            </w:r>
            <w:r>
              <w:rPr>
                <w:rStyle w:val="7"/>
                <w:rFonts w:hAnsi="SimSun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7"/>
                <w:rFonts w:hAnsi="SimSun"/>
                <w:sz w:val="20"/>
                <w:szCs w:val="20"/>
                <w:lang w:val="en-US" w:eastAsia="zh-CN" w:bidi="ar"/>
              </w:rPr>
              <w:t>1.违规用电，特别是：私拉电源线、违规使用大功率电器（1000</w:t>
            </w:r>
            <w:r>
              <w:rPr>
                <w:rStyle w:val="7"/>
                <w:rFonts w:hint="eastAsia" w:hAnsi="SimSun"/>
                <w:sz w:val="20"/>
                <w:szCs w:val="20"/>
                <w:lang w:val="en-US" w:eastAsia="zh-CN" w:bidi="ar"/>
              </w:rPr>
              <w:t>W</w:t>
            </w:r>
            <w:r>
              <w:rPr>
                <w:rStyle w:val="7"/>
                <w:rFonts w:hAnsi="SimSun"/>
                <w:sz w:val="20"/>
                <w:szCs w:val="20"/>
                <w:lang w:val="en-US" w:eastAsia="zh-CN" w:bidi="ar"/>
              </w:rPr>
              <w:t>以上）、在宿舍内存放电动车电池或为电动车电池充电、私自改装破坏宿舍公共设备、宿舍内吸烟等严重违反消防安全的行为</w:t>
            </w:r>
            <w:r>
              <w:rPr>
                <w:rStyle w:val="7"/>
                <w:rFonts w:hAnsi="SimSun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7"/>
                <w:rFonts w:hAnsi="SimSun"/>
                <w:sz w:val="20"/>
                <w:szCs w:val="20"/>
                <w:lang w:val="en-US" w:eastAsia="zh-CN" w:bidi="ar"/>
              </w:rPr>
              <w:t>2.私自留宿非本宿舍成员、私自调换宿舍、私借钥匙或出租宿位给他人</w:t>
            </w:r>
          </w:p>
        </w:tc>
        <w:tc>
          <w:tcPr>
            <w:tcW w:w="8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>
        <w:trPr>
          <w:trHeight w:val="52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宿舍成员无恶意欠缴住宿费和水电费的行为</w:t>
            </w:r>
          </w:p>
        </w:tc>
        <w:tc>
          <w:tcPr>
            <w:tcW w:w="8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>
        <w:trPr>
          <w:trHeight w:val="60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本科生体质健康测试合格率达100%（不包含获批准免测学生）</w:t>
            </w:r>
          </w:p>
        </w:tc>
        <w:tc>
          <w:tcPr>
            <w:tcW w:w="8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>
        <w:trPr>
          <w:trHeight w:val="760" w:hRule="atLeast"/>
        </w:trPr>
        <w:tc>
          <w:tcPr>
            <w:tcW w:w="4515" w:type="pct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考核打分指标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rPr>
          <w:trHeight w:val="534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思想品德</w:t>
            </w:r>
          </w:p>
        </w:tc>
        <w:tc>
          <w:tcPr>
            <w:tcW w:w="2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宿舍成员积极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向党组织靠拢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，宿舍成员有1人是党员或预备党员，1分；每增加1人加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分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（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上限5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分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）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以宿舍为单位，参加学生马克思主义学习小组、“青马学堂”、党章学习小组、党团日活动等思想政治教育活动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（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每次1分，至少75%以上宿舍成员同时出席，上限5分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）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宿舍成员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在助人为乐、见义勇为、诚实守信、孝老爱亲等方面有突出事迹，在学生中起到示范或模范带头作用或在社会上产生积极影响，获得市级及以上表彰。同一事件获多次表彰，不累计加分，按就高原则加分。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（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国家级3分，省级2分，市级1分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）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宿舍内部用语文明，恪守社会主义核心价值观（5分）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（注：本栏分数上限不超过15分）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15分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rPr>
          <w:trHeight w:val="3651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学习风气</w:t>
            </w:r>
          </w:p>
        </w:tc>
        <w:tc>
          <w:tcPr>
            <w:tcW w:w="2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1.宿舍成员发表学术论文（法学“三大刊”5分，重要核心期刊4分，C 刊扩展版或C 集刊3分，有正式刊号的学术刊物2分）；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2.宿舍成员在学院组织的学习分享活动分享学习经验（3分/次）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3.以宿舍集体名义参加学院组织的学习分享活动、学术讲座（1分/次，至少75%以上宿舍成员同时出席，需提供签到记录）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4.宿舍成员遵守课堂和考试纪律(5分)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（注：本栏分数上限不超过15分）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15分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rPr>
          <w:trHeight w:val="2862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安全纪律</w:t>
            </w:r>
          </w:p>
        </w:tc>
        <w:tc>
          <w:tcPr>
            <w:tcW w:w="2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1.宿舍内部开展安全学习(1次1分，上限5分)；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2.宿舍成员作息规律，无无故晚归现象，满分5分，每晚归1人次扣1分，扣完为止。（因参加学校或学院活动经批准的除外）(5分)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3.宿舍内个人贵重物品不随意放置，防盗意识强（5分）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4.参与学校组织的安全教育活动(5分)；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5.配合学校开展安全用电检查（5分）。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25分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rPr>
          <w:trHeight w:val="114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卫生内务</w:t>
            </w:r>
          </w:p>
        </w:tc>
        <w:tc>
          <w:tcPr>
            <w:tcW w:w="2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1.宿舍成员参加以宿舍文明卫生为内容的劳动教育活动，每天轮流值日(5分)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2.宿舍地面、墙面干净整洁，不乱张贴（2分）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3.阳台、洗手间、浴室清洁无杂物，无异味（2分）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4.宿舍内外无杂物堆放（2分）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5.书桌物品摆放整齐、美观（2分）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6.床铺干净整齐，物品摆放得当（2分）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15分</w:t>
            </w:r>
          </w:p>
        </w:tc>
        <w:tc>
          <w:tcPr>
            <w:tcW w:w="4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rPr>
          <w:trHeight w:val="4260" w:hRule="atLeast"/>
        </w:trPr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文化氛围</w:t>
            </w:r>
          </w:p>
        </w:tc>
        <w:tc>
          <w:tcPr>
            <w:tcW w:w="21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1.宿舍制定有宿舍公约并贯彻执行（3分）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2.宿舍布置温馨优美，有进行一定装饰（3分）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3.宿舍成员具有良好的作息时间和生活习惯，积极参加体育锻炼（3分）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4.宿舍凝聚力强，经常以宿舍为单位集体参加各类文化体育、公益志愿服务或学习教育、科研竞赛等第二课堂活动（1次1分，至少75%以上宿舍成员同时出席）（10分）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5.宿舍同学关系融洽，团结、友爱、互助，宿舍整体氛围和谐、健康、向上，开展宿舍集体团建活动（1次2分，需全体宿舍成员同时出席，上限6分）</w:t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SimSun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6.宿舍成员能够围绕专业学习、升学深造、社会实践、德智体美劳全面发展等方面形成特色宿舍文化（5分）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30分</w:t>
            </w:r>
          </w:p>
        </w:tc>
        <w:tc>
          <w:tcPr>
            <w:tcW w:w="49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rPr>
          <w:trHeight w:val="600" w:hRule="atLeast"/>
        </w:trPr>
        <w:tc>
          <w:tcPr>
            <w:tcW w:w="316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满分100分</w:t>
            </w:r>
          </w:p>
        </w:tc>
        <w:tc>
          <w:tcPr>
            <w:tcW w:w="49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SimSun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注：本考评指标中涉及的专业术语，如《中山大学法学院本科生综合素质测评实施细则》或《中山大学法学院研究生奖助学金评审工作实施细则》已作出规定，参照相应的规定解释。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汉仪书宋二KW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D8C696"/>
    <w:multiLevelType w:val="singleLevel"/>
    <w:tmpl w:val="BFD8C6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FDA105"/>
    <w:rsid w:val="37BC3E58"/>
    <w:rsid w:val="3DBE17CF"/>
    <w:rsid w:val="3FF9529A"/>
    <w:rsid w:val="6ADFA083"/>
    <w:rsid w:val="6EF3E893"/>
    <w:rsid w:val="74C70AE0"/>
    <w:rsid w:val="77BF93A9"/>
    <w:rsid w:val="7DFDA105"/>
    <w:rsid w:val="7FD7F2D0"/>
    <w:rsid w:val="9EB9EEA5"/>
    <w:rsid w:val="BEA3F597"/>
    <w:rsid w:val="DFFE7548"/>
    <w:rsid w:val="E53FF3B7"/>
    <w:rsid w:val="ED58C180"/>
    <w:rsid w:val="F7BE8CAA"/>
    <w:rsid w:val="FB35E248"/>
    <w:rsid w:val="FFFFF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仿宋_GB2312" w:eastAsia="仿宋_GB2312" w:cs="仿宋_GB2312"/>
      <w:b/>
      <w:bCs/>
      <w:color w:val="000000"/>
      <w:sz w:val="28"/>
      <w:szCs w:val="28"/>
      <w:u w:val="none"/>
    </w:rPr>
  </w:style>
  <w:style w:type="character" w:customStyle="1" w:styleId="5">
    <w:name w:val="font71"/>
    <w:basedOn w:val="3"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character" w:customStyle="1" w:styleId="6">
    <w:name w:val="font81"/>
    <w:basedOn w:val="3"/>
    <w:uiPriority w:val="0"/>
    <w:rPr>
      <w:rFonts w:hint="eastAsia" w:ascii="仿宋_GB2312" w:eastAsia="仿宋_GB2312" w:cs="仿宋_GB2312"/>
      <w:b/>
      <w:bCs/>
      <w:color w:val="000000"/>
      <w:sz w:val="40"/>
      <w:szCs w:val="40"/>
      <w:u w:val="none"/>
    </w:rPr>
  </w:style>
  <w:style w:type="character" w:customStyle="1" w:styleId="7">
    <w:name w:val="font51"/>
    <w:basedOn w:val="3"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32</TotalTime>
  <ScaleCrop>false</ScaleCrop>
  <LinksUpToDate>false</LinksUpToDate>
  <CharactersWithSpaces>0</CharactersWithSpaces>
  <Application>WPS Office_6.6.1.8808_F1E327BC-269C-435d-A152-05C5408002CA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2024-05-08T22:42:00Z</dcterms:created>
  <dc:creator>Wyman</dc:creator>
  <cp:lastModifiedBy>Wyman</cp:lastModifiedBy>
  <dcterms:modified xsi:type="dcterms:W3CDTF">2024-05-08T10:18:07Z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ICV">
    <vt:lpwstr>BE921EDCFA5153D9DF3D3A66BC76A23C_41</vt:lpwstr>
  </property>
</Properties>
</file>